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72.5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ИУК-7.1 знать основы здорового образа жизни и здоровьесберегающие технологии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ИУК-7.2 уметь выбирать здоровьесберегающие технологии для поддержания здорового образа жизни с учетом физиологических особенностей организма и условий, планировать свое рабочее и свободное время для оптимального сочетания физической и  умственной нагрузки и обеспечения работоспособности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ИУК-7.3 владеть уровнем физической и интеллектуальной подготовленности для соблюдения и пропаганды норм здорового образа жизни в различных жизненных ситуациях и в профессиональной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 «Физическая культура и спорт (элективная дисциплина)»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39.03.02 Социальная работа.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Модуль, формирующий компетенции физической культуры</w:t>
            </w:r>
          </w:p>
          <w:p>
            <w:pPr>
              <w:jc w:val="center"/>
              <w:spacing w:after="0" w:line="240" w:lineRule="auto"/>
              <w:rPr>
                <w:sz w:val="22"/>
                <w:szCs w:val="22"/>
              </w:rPr>
            </w:pPr>
            <w:r>
              <w:rPr>
                <w:rFonts w:ascii="Times New Roman" w:hAnsi="Times New Roman" w:cs="Times New Roman"/>
                <w:color w:val="#000000"/>
                <w:sz w:val="22"/>
                <w:szCs w:val="22"/>
              </w:rPr>
              <w:t> Социальная работа с семьей, воспитывающей ребенка с  ограниченными возможностями здоровья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 3,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453.25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волейбола. Правила  соревнований игры в волейбол. Общефизическая подготовка развитие мышц: туловища, рук,  ног. Развитие :</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Изучение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Изучение (совершенствование)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Прием и передача мяча снизу, сверху в прыжке. Комплекс упражнений на развитие прыгучести. Изучение совершенствование техники атакующего удара – блока. Совершенствование техники игры в нападении и защите. Судейство. Дневник самоконтроля (объективные и субъективные меторды, ЧСС, АД)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 3</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6264.5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соревнований игры в волейбол (обязанности главного судьй, боковых судей, технического секретаря). Общефизическая подготовка волейболиста.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Совершенствование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техникипПриема и передача мяча снизу, сверху в прыжке.  Комплекс упражнений на развитие прыгучести. Совершенствование техники атакующего удара – блока. Совершенствование техники игры в нападении и защите. Совершенствование навыка судейства.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 4</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9239.68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5569.6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передачи – атакующего удара – блока.  Развитие прыгучести. Учебно – тренировочная игра.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80.4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2023-2024_ФГОС3++2023_Бак-ЗФО-СР(23)_plx_Физическая культура и спорт (элективная дисциплина)</dc:title>
  <dc:creator>FastReport.NET</dc:creator>
</cp:coreProperties>
</file>